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0A9AF" w14:textId="77777777" w:rsidR="00146998" w:rsidRDefault="00146998" w:rsidP="00146998">
      <w:pPr>
        <w:spacing w:line="0" w:lineRule="atLeast"/>
        <w:ind w:right="100"/>
        <w:jc w:val="center"/>
        <w:rPr>
          <w:rFonts w:ascii="Times New Roman" w:eastAsia="Times New Roman" w:hAnsi="Times New Roman"/>
          <w:b/>
        </w:rPr>
      </w:pPr>
      <w:r>
        <w:rPr>
          <w:rFonts w:ascii="Times New Roman" w:eastAsia="Times New Roman" w:hAnsi="Times New Roman"/>
          <w:b/>
        </w:rPr>
        <w:t>ISTITUTO DI ISTRUZIONE SUPERIORE "E.FERMI" (SAIS052008)</w:t>
      </w:r>
    </w:p>
    <w:p w14:paraId="2B6A605D" w14:textId="77777777" w:rsidR="00146998" w:rsidRDefault="00146998" w:rsidP="00146998">
      <w:pPr>
        <w:spacing w:line="235" w:lineRule="auto"/>
        <w:ind w:right="120"/>
        <w:jc w:val="center"/>
        <w:rPr>
          <w:rFonts w:ascii="Times New Roman" w:eastAsia="Times New Roman" w:hAnsi="Times New Roman"/>
        </w:rPr>
      </w:pPr>
      <w:r>
        <w:rPr>
          <w:rFonts w:ascii="Times New Roman" w:eastAsia="Times New Roman" w:hAnsi="Times New Roman"/>
        </w:rPr>
        <w:t xml:space="preserve">Istituto Tecnico Industriale "E. Fermi" </w:t>
      </w:r>
    </w:p>
    <w:p w14:paraId="2AFF95B2" w14:textId="77777777" w:rsidR="00146998" w:rsidRDefault="00146998" w:rsidP="00146998">
      <w:pPr>
        <w:spacing w:line="1" w:lineRule="exact"/>
        <w:rPr>
          <w:rFonts w:ascii="Times New Roman" w:eastAsia="Times New Roman" w:hAnsi="Times New Roman"/>
          <w:sz w:val="24"/>
        </w:rPr>
      </w:pPr>
    </w:p>
    <w:p w14:paraId="4271057E" w14:textId="77777777" w:rsidR="00146998" w:rsidRDefault="00146998" w:rsidP="00146998">
      <w:pPr>
        <w:spacing w:line="0" w:lineRule="atLeast"/>
        <w:ind w:right="100"/>
        <w:jc w:val="center"/>
        <w:rPr>
          <w:rFonts w:ascii="Times New Roman" w:eastAsia="Times New Roman" w:hAnsi="Times New Roman"/>
        </w:rPr>
      </w:pPr>
      <w:r>
        <w:rPr>
          <w:rFonts w:ascii="Times New Roman" w:eastAsia="Times New Roman" w:hAnsi="Times New Roman"/>
        </w:rPr>
        <w:t xml:space="preserve">Istituto Tecnico Commerciale "G. Dorso" </w:t>
      </w:r>
    </w:p>
    <w:p w14:paraId="661CE258" w14:textId="75791D96" w:rsidR="009B3D01" w:rsidRPr="00146998" w:rsidRDefault="009B3D01" w:rsidP="00146998">
      <w:pPr>
        <w:spacing w:line="0" w:lineRule="atLeast"/>
        <w:ind w:right="100"/>
        <w:jc w:val="center"/>
        <w:rPr>
          <w:rFonts w:ascii="Times New Roman" w:eastAsia="Times New Roman" w:hAnsi="Times New Roman"/>
        </w:rPr>
      </w:pPr>
      <w:r w:rsidRPr="009B3D01">
        <w:rPr>
          <w:rFonts w:ascii="Times New Roman" w:eastAsia="Times New Roman" w:hAnsi="Times New Roman"/>
          <w:b/>
          <w:noProof/>
        </w:rPr>
        <w:drawing>
          <wp:anchor distT="0" distB="0" distL="114300" distR="114300" simplePos="0" relativeHeight="251659264" behindDoc="1" locked="0" layoutInCell="1" allowOverlap="1" wp14:anchorId="2E90AD85" wp14:editId="12E0A39F">
            <wp:simplePos x="0" y="0"/>
            <wp:positionH relativeFrom="page">
              <wp:posOffset>312526</wp:posOffset>
            </wp:positionH>
            <wp:positionV relativeFrom="page">
              <wp:posOffset>45085</wp:posOffset>
            </wp:positionV>
            <wp:extent cx="7116150" cy="871200"/>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116150" cy="871200"/>
                    </a:xfrm>
                    <a:prstGeom prst="rect">
                      <a:avLst/>
                    </a:prstGeom>
                    <a:noFill/>
                  </pic:spPr>
                </pic:pic>
              </a:graphicData>
            </a:graphic>
          </wp:anchor>
        </w:drawing>
      </w:r>
      <w:r w:rsidR="00F92A6F">
        <w:rPr>
          <w:rFonts w:ascii="Times New Roman" w:eastAsia="Times New Roman" w:hAnsi="Times New Roman" w:cs="Times New Roman"/>
          <w:color w:val="000000"/>
          <w:sz w:val="21"/>
          <w:szCs w:val="21"/>
        </w:rPr>
        <w:t xml:space="preserve">                                                                                                                </w:t>
      </w:r>
    </w:p>
    <w:p w14:paraId="7D24345D" w14:textId="64639DB0" w:rsidR="004308F5" w:rsidRDefault="00F92A6F">
      <w:pPr>
        <w:pStyle w:val="Normale1"/>
        <w:pBdr>
          <w:top w:val="nil"/>
          <w:left w:val="nil"/>
          <w:bottom w:val="nil"/>
          <w:right w:val="nil"/>
          <w:between w:val="nil"/>
        </w:pBdr>
        <w:jc w:val="center"/>
        <w:rPr>
          <w:rFonts w:ascii="Garamond" w:eastAsia="Garamond" w:hAnsi="Garamond" w:cs="Garamond"/>
          <w:color w:val="000000"/>
        </w:rPr>
      </w:pP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rPr>
        <w:t>SCHEDA PER L'INDIVIDUAZIONE DEI DOCENTI SOPRANNUMERARI A.S. 20</w:t>
      </w:r>
      <w:r w:rsidR="00912744">
        <w:rPr>
          <w:rFonts w:ascii="Times New Roman" w:eastAsia="Times New Roman" w:hAnsi="Times New Roman" w:cs="Times New Roman"/>
          <w:b/>
          <w:color w:val="000000"/>
        </w:rPr>
        <w:t>20</w:t>
      </w:r>
      <w:r>
        <w:rPr>
          <w:rFonts w:ascii="Times New Roman" w:eastAsia="Times New Roman" w:hAnsi="Times New Roman" w:cs="Times New Roman"/>
          <w:b/>
          <w:color w:val="000000"/>
        </w:rPr>
        <w:t>/2</w:t>
      </w:r>
      <w:r w:rsidR="00912744">
        <w:rPr>
          <w:rFonts w:ascii="Times New Roman" w:eastAsia="Times New Roman" w:hAnsi="Times New Roman" w:cs="Times New Roman"/>
          <w:b/>
          <w:color w:val="000000"/>
        </w:rPr>
        <w:t>1</w:t>
      </w:r>
    </w:p>
    <w:p w14:paraId="70F9D14A" w14:textId="77777777" w:rsidR="004308F5" w:rsidRDefault="004308F5">
      <w:pPr>
        <w:pStyle w:val="Normale1"/>
        <w:widowControl w:val="0"/>
        <w:pBdr>
          <w:top w:val="nil"/>
          <w:left w:val="nil"/>
          <w:bottom w:val="nil"/>
          <w:right w:val="nil"/>
          <w:between w:val="nil"/>
        </w:pBdr>
        <w:ind w:left="835"/>
        <w:jc w:val="center"/>
        <w:rPr>
          <w:rFonts w:ascii="Times New Roman" w:eastAsia="Times New Roman" w:hAnsi="Times New Roman" w:cs="Times New Roman"/>
          <w:color w:val="000000"/>
          <w:sz w:val="21"/>
          <w:szCs w:val="21"/>
        </w:rPr>
      </w:pPr>
    </w:p>
    <w:p w14:paraId="3ADEE750" w14:textId="77777777" w:rsidR="004308F5" w:rsidRDefault="009B3D01">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sottoscritto/a________________________________________</w:t>
      </w:r>
      <w:r w:rsidR="00F92A6F">
        <w:rPr>
          <w:rFonts w:ascii="Times New Roman" w:eastAsia="Times New Roman" w:hAnsi="Times New Roman" w:cs="Times New Roman"/>
          <w:color w:val="000000"/>
        </w:rPr>
        <w:t xml:space="preserve">.nato/a </w:t>
      </w:r>
      <w:r>
        <w:rPr>
          <w:rFonts w:ascii="Times New Roman" w:eastAsia="Times New Roman" w:hAnsi="Times New Roman" w:cs="Times New Roman"/>
        </w:rPr>
        <w:t>_______________________</w:t>
      </w:r>
      <w:r w:rsidR="00F92A6F">
        <w:rPr>
          <w:rFonts w:ascii="Times New Roman" w:eastAsia="Times New Roman" w:hAnsi="Times New Roman" w:cs="Times New Roman"/>
        </w:rPr>
        <w:t xml:space="preserve">  </w:t>
      </w:r>
      <w:r w:rsidR="00F92A6F">
        <w:rPr>
          <w:rFonts w:ascii="Times New Roman" w:eastAsia="Times New Roman" w:hAnsi="Times New Roman" w:cs="Times New Roman"/>
          <w:color w:val="000000"/>
        </w:rPr>
        <w:t>(prov.</w:t>
      </w:r>
      <w:r>
        <w:rPr>
          <w:rFonts w:ascii="Times New Roman" w:eastAsia="Times New Roman" w:hAnsi="Times New Roman" w:cs="Times New Roman"/>
        </w:rPr>
        <w:t>______</w:t>
      </w:r>
      <w:r w:rsidR="00F92A6F">
        <w:rPr>
          <w:rFonts w:ascii="Times New Roman" w:eastAsia="Times New Roman" w:hAnsi="Times New Roman" w:cs="Times New Roman"/>
        </w:rPr>
        <w:t>)</w:t>
      </w:r>
    </w:p>
    <w:p w14:paraId="145CC36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Il </w:t>
      </w:r>
      <w:r w:rsidR="009B3D01">
        <w:rPr>
          <w:rFonts w:ascii="Times New Roman" w:eastAsia="Times New Roman" w:hAnsi="Times New Roman" w:cs="Times New Roman"/>
        </w:rPr>
        <w:t>______________</w:t>
      </w:r>
      <w:r>
        <w:rPr>
          <w:rFonts w:ascii="Times New Roman" w:eastAsia="Times New Roman" w:hAnsi="Times New Roman" w:cs="Times New Roman"/>
          <w:color w:val="000000"/>
        </w:rPr>
        <w:t>.residente in</w:t>
      </w:r>
      <w:r w:rsidR="009B3D01">
        <w:rPr>
          <w:rFonts w:ascii="Times New Roman" w:eastAsia="Times New Roman" w:hAnsi="Times New Roman" w:cs="Times New Roman"/>
        </w:rPr>
        <w:t xml:space="preserve"> __________________________ ,via _____________________________</w:t>
      </w:r>
      <w:r>
        <w:rPr>
          <w:rFonts w:ascii="Times New Roman" w:eastAsia="Times New Roman" w:hAnsi="Times New Roman" w:cs="Times New Roman"/>
        </w:rPr>
        <w:t xml:space="preserve"> N.</w:t>
      </w:r>
      <w:r w:rsidR="009B3D01">
        <w:rPr>
          <w:rFonts w:ascii="Times New Roman" w:eastAsia="Times New Roman" w:hAnsi="Times New Roman" w:cs="Times New Roman"/>
        </w:rPr>
        <w:t>________</w:t>
      </w:r>
    </w:p>
    <w:p w14:paraId="45C10A01"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w:t>
      </w:r>
      <w:r>
        <w:rPr>
          <w:rFonts w:ascii="Times New Roman" w:eastAsia="Times New Roman" w:hAnsi="Times New Roman" w:cs="Times New Roman"/>
        </w:rPr>
        <w:t xml:space="preserve"> SECONDARIA DI II GRADO</w:t>
      </w:r>
      <w:r w:rsidR="009B3D01">
        <w:rPr>
          <w:rFonts w:ascii="Times New Roman" w:eastAsia="Times New Roman" w:hAnsi="Times New Roman" w:cs="Times New Roman"/>
        </w:rPr>
        <w:t xml:space="preserve"> </w:t>
      </w:r>
      <w:r w:rsidR="009B3D01">
        <w:rPr>
          <w:rFonts w:ascii="Times New Roman" w:eastAsia="Times New Roman" w:hAnsi="Times New Roman" w:cs="Times New Roman"/>
          <w:color w:val="000000"/>
        </w:rPr>
        <w:t>classe di concorso ____________________</w:t>
      </w:r>
    </w:p>
    <w:p w14:paraId="19A99C10" w14:textId="2CA0B191" w:rsidR="004308F5" w:rsidRPr="009B3D01" w:rsidRDefault="00F92A6F">
      <w:pPr>
        <w:pStyle w:val="Normale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titolare presso </w:t>
      </w:r>
      <w:r w:rsidR="009B3D01">
        <w:rPr>
          <w:rFonts w:ascii="Times New Roman" w:eastAsia="Times New Roman" w:hAnsi="Times New Roman" w:cs="Times New Roman"/>
          <w:color w:val="000000"/>
        </w:rPr>
        <w:t xml:space="preserve">codesta Scuola </w:t>
      </w:r>
      <w:r>
        <w:rPr>
          <w:rFonts w:ascii="Times New Roman" w:eastAsia="Times New Roman" w:hAnsi="Times New Roman" w:cs="Times New Roman"/>
          <w:color w:val="000000"/>
        </w:rPr>
        <w:t>dall’</w:t>
      </w:r>
      <w:r w:rsidR="00912744">
        <w:rPr>
          <w:rFonts w:ascii="Times New Roman" w:eastAsia="Times New Roman" w:hAnsi="Times New Roman" w:cs="Times New Roman"/>
          <w:color w:val="000000"/>
        </w:rPr>
        <w:t>a.s.</w:t>
      </w:r>
      <w:r>
        <w:rPr>
          <w:rFonts w:ascii="Times New Roman" w:eastAsia="Times New Roman" w:hAnsi="Times New Roman" w:cs="Times New Roman"/>
          <w:color w:val="000000"/>
        </w:rPr>
        <w:t xml:space="preserve"> </w:t>
      </w:r>
      <w:r w:rsidR="00032DAD">
        <w:rPr>
          <w:rFonts w:ascii="Times New Roman" w:eastAsia="Times New Roman" w:hAnsi="Times New Roman" w:cs="Times New Roman"/>
        </w:rPr>
        <w:t>2019/20</w:t>
      </w:r>
      <w:r>
        <w:rPr>
          <w:rFonts w:ascii="Times New Roman" w:eastAsia="Times New Roman" w:hAnsi="Times New Roman" w:cs="Times New Roman"/>
          <w:color w:val="000000"/>
        </w:rPr>
        <w:t xml:space="preserve">. con decorrenza giuridica  dal </w:t>
      </w:r>
      <w:r w:rsidR="009B3D01">
        <w:rPr>
          <w:rFonts w:ascii="Times New Roman" w:eastAsia="Times New Roman" w:hAnsi="Times New Roman" w:cs="Times New Roman"/>
        </w:rPr>
        <w:t>________________</w:t>
      </w:r>
    </w:p>
    <w:p w14:paraId="1AD4C12B" w14:textId="77777777" w:rsidR="004308F5" w:rsidRDefault="009B3D01">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immesso in ruolo ai sensi ________________________</w:t>
      </w:r>
      <w:r w:rsidR="00F92A6F">
        <w:rPr>
          <w:rFonts w:ascii="Times New Roman" w:eastAsia="Times New Roman" w:hAnsi="Times New Roman" w:cs="Times New Roman"/>
          <w:color w:val="000000"/>
        </w:rPr>
        <w:t xml:space="preserve">con effettiva assunzione in servizio </w:t>
      </w:r>
      <w:r>
        <w:rPr>
          <w:rFonts w:ascii="Times New Roman" w:eastAsia="Times New Roman" w:hAnsi="Times New Roman" w:cs="Times New Roman"/>
          <w:color w:val="000000"/>
        </w:rPr>
        <w:t>______________________</w:t>
      </w:r>
      <w:r w:rsidR="00F92A6F">
        <w:rPr>
          <w:rFonts w:ascii="Times New Roman" w:eastAsia="Times New Roman" w:hAnsi="Times New Roman" w:cs="Times New Roman"/>
          <w:color w:val="000000"/>
        </w:rPr>
        <w:t xml:space="preserve"> ai fini della formulazione della graduatoria dichiara sotto la propria responsabilità:</w:t>
      </w:r>
    </w:p>
    <w:p w14:paraId="6F0360AA"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4308F5" w14:paraId="13BF5469" w14:textId="77777777">
        <w:trPr>
          <w:jc w:val="center"/>
        </w:trPr>
        <w:tc>
          <w:tcPr>
            <w:tcW w:w="7236" w:type="dxa"/>
            <w:tcBorders>
              <w:top w:val="single" w:sz="4" w:space="0" w:color="000000"/>
              <w:left w:val="single" w:sz="4" w:space="0" w:color="000000"/>
              <w:right w:val="single" w:sz="4" w:space="0" w:color="000000"/>
            </w:tcBorders>
            <w:vAlign w:val="center"/>
          </w:tcPr>
          <w:p w14:paraId="6FA055FD"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750FAB0A" w14:textId="77777777" w:rsidR="004308F5" w:rsidRDefault="00F92A6F">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7521A0A1" w14:textId="77777777" w:rsidR="004308F5" w:rsidRDefault="00F92A6F">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261C4663"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w:t>
            </w:r>
          </w:p>
          <w:p w14:paraId="25C50E39"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Dir.Scol</w:t>
            </w:r>
            <w:proofErr w:type="spellEnd"/>
            <w:r>
              <w:rPr>
                <w:rFonts w:ascii="Times New Roman" w:eastAsia="Times New Roman" w:hAnsi="Times New Roman" w:cs="Times New Roman"/>
                <w:b/>
                <w:color w:val="000000"/>
                <w:sz w:val="18"/>
                <w:szCs w:val="18"/>
              </w:rPr>
              <w:t xml:space="preserve">. </w:t>
            </w:r>
          </w:p>
        </w:tc>
      </w:tr>
      <w:tr w:rsidR="004308F5" w14:paraId="2774313D"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2E16005C"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1D18967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5350892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3A9782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D879121"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2F91B14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14:paraId="034B9D0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6D40F6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05EBD0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7E44064" w14:textId="77777777">
        <w:trPr>
          <w:jc w:val="center"/>
        </w:trPr>
        <w:tc>
          <w:tcPr>
            <w:tcW w:w="7236" w:type="dxa"/>
            <w:vMerge/>
            <w:tcBorders>
              <w:top w:val="single" w:sz="4" w:space="0" w:color="000000"/>
              <w:left w:val="single" w:sz="4" w:space="0" w:color="000000"/>
              <w:right w:val="single" w:sz="4" w:space="0" w:color="000000"/>
            </w:tcBorders>
            <w:vAlign w:val="center"/>
          </w:tcPr>
          <w:p w14:paraId="74D75B6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4DAF17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E6D954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D04B01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87D73F2"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A87149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2B2DE40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A91040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8538E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85E969D" w14:textId="77777777">
        <w:trPr>
          <w:jc w:val="center"/>
        </w:trPr>
        <w:tc>
          <w:tcPr>
            <w:tcW w:w="7236" w:type="dxa"/>
            <w:vMerge/>
            <w:tcBorders>
              <w:top w:val="single" w:sz="4" w:space="0" w:color="000000"/>
              <w:left w:val="single" w:sz="4" w:space="0" w:color="000000"/>
              <w:right w:val="single" w:sz="4" w:space="0" w:color="000000"/>
            </w:tcBorders>
            <w:vAlign w:val="center"/>
          </w:tcPr>
          <w:p w14:paraId="0FD5E1FC"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B4B369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F79577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D1CE3D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8A81154" w14:textId="77777777">
        <w:trPr>
          <w:jc w:val="center"/>
        </w:trPr>
        <w:tc>
          <w:tcPr>
            <w:tcW w:w="7236" w:type="dxa"/>
            <w:vMerge/>
            <w:tcBorders>
              <w:top w:val="single" w:sz="4" w:space="0" w:color="000000"/>
              <w:left w:val="single" w:sz="4" w:space="0" w:color="000000"/>
              <w:right w:val="single" w:sz="4" w:space="0" w:color="000000"/>
            </w:tcBorders>
            <w:vAlign w:val="center"/>
          </w:tcPr>
          <w:p w14:paraId="1FC4CC2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BD8696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84F8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3D3E434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F3D659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2AD73C6"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(Punti 3)</w:t>
            </w:r>
          </w:p>
          <w:p w14:paraId="533F2581"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37" w:type="dxa"/>
            <w:tcBorders>
              <w:top w:val="single" w:sz="4" w:space="0" w:color="000000"/>
              <w:left w:val="single" w:sz="4" w:space="0" w:color="000000"/>
              <w:bottom w:val="nil"/>
              <w:right w:val="single" w:sz="4" w:space="0" w:color="000000"/>
            </w:tcBorders>
            <w:vAlign w:val="center"/>
          </w:tcPr>
          <w:p w14:paraId="388EB70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60F9CD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000F17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4B89F25" w14:textId="77777777">
        <w:trPr>
          <w:jc w:val="center"/>
        </w:trPr>
        <w:tc>
          <w:tcPr>
            <w:tcW w:w="7236" w:type="dxa"/>
            <w:vMerge/>
            <w:tcBorders>
              <w:top w:val="single" w:sz="4" w:space="0" w:color="000000"/>
              <w:left w:val="single" w:sz="4" w:space="0" w:color="000000"/>
              <w:right w:val="single" w:sz="4" w:space="0" w:color="000000"/>
            </w:tcBorders>
            <w:vAlign w:val="center"/>
          </w:tcPr>
          <w:p w14:paraId="616FEEA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E238CD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4DE8D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D955A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2B7EFB" w14:textId="77777777">
        <w:trPr>
          <w:jc w:val="center"/>
        </w:trPr>
        <w:tc>
          <w:tcPr>
            <w:tcW w:w="7236" w:type="dxa"/>
            <w:vMerge/>
            <w:tcBorders>
              <w:top w:val="single" w:sz="4" w:space="0" w:color="000000"/>
              <w:left w:val="single" w:sz="4" w:space="0" w:color="000000"/>
              <w:right w:val="single" w:sz="4" w:space="0" w:color="000000"/>
            </w:tcBorders>
            <w:vAlign w:val="center"/>
          </w:tcPr>
          <w:p w14:paraId="79BE2B6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F94DE6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D24B4D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4396D8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30A4BC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41B319BB"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0EEEFDC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18A1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8E48D3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A52C7EE" w14:textId="77777777">
        <w:trPr>
          <w:jc w:val="center"/>
        </w:trPr>
        <w:tc>
          <w:tcPr>
            <w:tcW w:w="7236" w:type="dxa"/>
            <w:vMerge/>
            <w:tcBorders>
              <w:top w:val="single" w:sz="4" w:space="0" w:color="000000"/>
              <w:left w:val="single" w:sz="4" w:space="0" w:color="000000"/>
              <w:right w:val="single" w:sz="4" w:space="0" w:color="000000"/>
            </w:tcBorders>
            <w:vAlign w:val="center"/>
          </w:tcPr>
          <w:p w14:paraId="1D0ACE2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292914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DBD04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AD1B67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B4F096E" w14:textId="77777777">
        <w:trPr>
          <w:jc w:val="center"/>
        </w:trPr>
        <w:tc>
          <w:tcPr>
            <w:tcW w:w="7236" w:type="dxa"/>
            <w:vMerge/>
            <w:tcBorders>
              <w:top w:val="single" w:sz="4" w:space="0" w:color="000000"/>
              <w:left w:val="single" w:sz="4" w:space="0" w:color="000000"/>
              <w:right w:val="single" w:sz="4" w:space="0" w:color="000000"/>
            </w:tcBorders>
            <w:vAlign w:val="center"/>
          </w:tcPr>
          <w:p w14:paraId="44CCCC3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FC3B3F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1DB33D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15F97C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D5CD5FC" w14:textId="77777777">
        <w:trPr>
          <w:jc w:val="center"/>
        </w:trPr>
        <w:tc>
          <w:tcPr>
            <w:tcW w:w="7236" w:type="dxa"/>
            <w:vMerge/>
            <w:tcBorders>
              <w:top w:val="single" w:sz="4" w:space="0" w:color="000000"/>
              <w:left w:val="single" w:sz="4" w:space="0" w:color="000000"/>
              <w:right w:val="single" w:sz="4" w:space="0" w:color="000000"/>
            </w:tcBorders>
            <w:vAlign w:val="center"/>
          </w:tcPr>
          <w:p w14:paraId="5229B420"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4F0108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8B61F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DECB80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3BA2FFF"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D89FEAF"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11FC6D1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BF3072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566CC5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C0EED0" w14:textId="77777777">
        <w:trPr>
          <w:jc w:val="center"/>
        </w:trPr>
        <w:tc>
          <w:tcPr>
            <w:tcW w:w="7236" w:type="dxa"/>
            <w:vMerge/>
            <w:tcBorders>
              <w:top w:val="single" w:sz="4" w:space="0" w:color="000000"/>
              <w:left w:val="single" w:sz="4" w:space="0" w:color="000000"/>
              <w:right w:val="single" w:sz="4" w:space="0" w:color="000000"/>
            </w:tcBorders>
            <w:vAlign w:val="center"/>
          </w:tcPr>
          <w:p w14:paraId="78D0364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6BF508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4814C4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F58BF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6C2F6BE" w14:textId="77777777">
        <w:trPr>
          <w:jc w:val="center"/>
        </w:trPr>
        <w:tc>
          <w:tcPr>
            <w:tcW w:w="7236" w:type="dxa"/>
            <w:vMerge/>
            <w:tcBorders>
              <w:top w:val="single" w:sz="4" w:space="0" w:color="000000"/>
              <w:left w:val="single" w:sz="4" w:space="0" w:color="000000"/>
              <w:right w:val="single" w:sz="4" w:space="0" w:color="000000"/>
            </w:tcBorders>
            <w:vAlign w:val="center"/>
          </w:tcPr>
          <w:p w14:paraId="26964EBF"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F57BD2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400F4E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3C063D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99F3F12" w14:textId="77777777">
        <w:trPr>
          <w:jc w:val="center"/>
        </w:trPr>
        <w:tc>
          <w:tcPr>
            <w:tcW w:w="7236" w:type="dxa"/>
            <w:vMerge/>
            <w:tcBorders>
              <w:top w:val="single" w:sz="4" w:space="0" w:color="000000"/>
              <w:left w:val="single" w:sz="4" w:space="0" w:color="000000"/>
              <w:right w:val="single" w:sz="4" w:space="0" w:color="000000"/>
            </w:tcBorders>
            <w:vAlign w:val="center"/>
          </w:tcPr>
          <w:p w14:paraId="00807D04"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C48B97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CFF570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ABB971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3E509E2"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D434B7C"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79B3CBD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1A07B6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04AB1F8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28D1315" w14:textId="77777777">
        <w:trPr>
          <w:jc w:val="center"/>
        </w:trPr>
        <w:tc>
          <w:tcPr>
            <w:tcW w:w="7236" w:type="dxa"/>
            <w:vMerge/>
            <w:tcBorders>
              <w:top w:val="single" w:sz="4" w:space="0" w:color="000000"/>
              <w:left w:val="single" w:sz="4" w:space="0" w:color="000000"/>
              <w:right w:val="single" w:sz="4" w:space="0" w:color="000000"/>
            </w:tcBorders>
            <w:vAlign w:val="center"/>
          </w:tcPr>
          <w:p w14:paraId="74B8FCE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7CADD4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C97ED9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B82C35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E9E56BB" w14:textId="77777777">
        <w:trPr>
          <w:jc w:val="center"/>
        </w:trPr>
        <w:tc>
          <w:tcPr>
            <w:tcW w:w="7236" w:type="dxa"/>
            <w:vMerge/>
            <w:tcBorders>
              <w:top w:val="single" w:sz="4" w:space="0" w:color="000000"/>
              <w:left w:val="single" w:sz="4" w:space="0" w:color="000000"/>
              <w:right w:val="single" w:sz="4" w:space="0" w:color="000000"/>
            </w:tcBorders>
            <w:vAlign w:val="center"/>
          </w:tcPr>
          <w:p w14:paraId="09220019"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86A6F0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6328FB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CBFA15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318A8A" w14:textId="77777777">
        <w:trPr>
          <w:jc w:val="center"/>
        </w:trPr>
        <w:tc>
          <w:tcPr>
            <w:tcW w:w="7236" w:type="dxa"/>
            <w:vMerge/>
            <w:tcBorders>
              <w:top w:val="single" w:sz="4" w:space="0" w:color="000000"/>
              <w:left w:val="single" w:sz="4" w:space="0" w:color="000000"/>
              <w:right w:val="single" w:sz="4" w:space="0" w:color="000000"/>
            </w:tcBorders>
            <w:vAlign w:val="center"/>
          </w:tcPr>
          <w:p w14:paraId="7B723E23"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8C6CEB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DF5CC4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A997C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1949553" w14:textId="77777777">
        <w:trPr>
          <w:jc w:val="center"/>
        </w:trPr>
        <w:tc>
          <w:tcPr>
            <w:tcW w:w="7236" w:type="dxa"/>
            <w:vMerge/>
            <w:tcBorders>
              <w:top w:val="single" w:sz="4" w:space="0" w:color="000000"/>
              <w:left w:val="single" w:sz="4" w:space="0" w:color="000000"/>
              <w:right w:val="single" w:sz="4" w:space="0" w:color="000000"/>
            </w:tcBorders>
            <w:vAlign w:val="center"/>
          </w:tcPr>
          <w:p w14:paraId="299C754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24CC20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5BD0D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0B1D71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3A472A0" w14:textId="77777777">
        <w:trPr>
          <w:jc w:val="center"/>
        </w:trPr>
        <w:tc>
          <w:tcPr>
            <w:tcW w:w="7236" w:type="dxa"/>
            <w:vMerge/>
            <w:tcBorders>
              <w:top w:val="single" w:sz="4" w:space="0" w:color="000000"/>
              <w:left w:val="single" w:sz="4" w:space="0" w:color="000000"/>
              <w:right w:val="single" w:sz="4" w:space="0" w:color="000000"/>
            </w:tcBorders>
            <w:vAlign w:val="center"/>
          </w:tcPr>
          <w:p w14:paraId="3C314514"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933E56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6F3D31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32F6082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B1C936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6CE3A8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60A7C45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F2487D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77C001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5FB8069" w14:textId="77777777">
        <w:trPr>
          <w:jc w:val="center"/>
        </w:trPr>
        <w:tc>
          <w:tcPr>
            <w:tcW w:w="7236" w:type="dxa"/>
            <w:vMerge/>
            <w:tcBorders>
              <w:top w:val="single" w:sz="4" w:space="0" w:color="000000"/>
              <w:left w:val="single" w:sz="4" w:space="0" w:color="000000"/>
              <w:right w:val="single" w:sz="4" w:space="0" w:color="000000"/>
            </w:tcBorders>
            <w:vAlign w:val="center"/>
          </w:tcPr>
          <w:p w14:paraId="224EB0F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FE83E4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BA9693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D35DA1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BCE4D2D" w14:textId="77777777">
        <w:trPr>
          <w:jc w:val="center"/>
        </w:trPr>
        <w:tc>
          <w:tcPr>
            <w:tcW w:w="7236" w:type="dxa"/>
            <w:vMerge/>
            <w:tcBorders>
              <w:top w:val="single" w:sz="4" w:space="0" w:color="000000"/>
              <w:left w:val="single" w:sz="4" w:space="0" w:color="000000"/>
              <w:right w:val="single" w:sz="4" w:space="0" w:color="000000"/>
            </w:tcBorders>
            <w:vAlign w:val="center"/>
          </w:tcPr>
          <w:p w14:paraId="2C7A2BD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5F1907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F3FA3C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77C04B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AEA8BF2" w14:textId="77777777">
        <w:trPr>
          <w:jc w:val="center"/>
        </w:trPr>
        <w:tc>
          <w:tcPr>
            <w:tcW w:w="7236" w:type="dxa"/>
            <w:vMerge/>
            <w:tcBorders>
              <w:top w:val="single" w:sz="4" w:space="0" w:color="000000"/>
              <w:left w:val="single" w:sz="4" w:space="0" w:color="000000"/>
              <w:right w:val="single" w:sz="4" w:space="0" w:color="000000"/>
            </w:tcBorders>
            <w:vAlign w:val="center"/>
          </w:tcPr>
          <w:p w14:paraId="3473AFFC"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5331B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4A3BC5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87E28A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8F89FE2" w14:textId="77777777">
        <w:trPr>
          <w:jc w:val="center"/>
        </w:trPr>
        <w:tc>
          <w:tcPr>
            <w:tcW w:w="7236" w:type="dxa"/>
            <w:vMerge/>
            <w:tcBorders>
              <w:top w:val="single" w:sz="4" w:space="0" w:color="000000"/>
              <w:left w:val="single" w:sz="4" w:space="0" w:color="000000"/>
              <w:right w:val="single" w:sz="4" w:space="0" w:color="000000"/>
            </w:tcBorders>
            <w:vAlign w:val="center"/>
          </w:tcPr>
          <w:p w14:paraId="7307B7B9"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A203B3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18D063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A339C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7301BA7" w14:textId="77777777">
        <w:trPr>
          <w:jc w:val="center"/>
        </w:trPr>
        <w:tc>
          <w:tcPr>
            <w:tcW w:w="7236" w:type="dxa"/>
            <w:vMerge/>
            <w:tcBorders>
              <w:top w:val="single" w:sz="4" w:space="0" w:color="000000"/>
              <w:left w:val="single" w:sz="4" w:space="0" w:color="000000"/>
              <w:right w:val="single" w:sz="4" w:space="0" w:color="000000"/>
            </w:tcBorders>
            <w:vAlign w:val="center"/>
          </w:tcPr>
          <w:p w14:paraId="551A8667"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5A30D6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474A5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8FCD97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FAD34EF" w14:textId="77777777">
        <w:trPr>
          <w:jc w:val="center"/>
        </w:trPr>
        <w:tc>
          <w:tcPr>
            <w:tcW w:w="7236" w:type="dxa"/>
            <w:vMerge/>
            <w:tcBorders>
              <w:top w:val="single" w:sz="4" w:space="0" w:color="000000"/>
              <w:left w:val="single" w:sz="4" w:space="0" w:color="000000"/>
              <w:right w:val="single" w:sz="4" w:space="0" w:color="000000"/>
            </w:tcBorders>
            <w:vAlign w:val="center"/>
          </w:tcPr>
          <w:p w14:paraId="7BA1929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08151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C2CAA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8884AD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D0EC7A5" w14:textId="77777777">
        <w:trPr>
          <w:jc w:val="center"/>
        </w:trPr>
        <w:tc>
          <w:tcPr>
            <w:tcW w:w="7236" w:type="dxa"/>
            <w:vMerge/>
            <w:tcBorders>
              <w:top w:val="single" w:sz="4" w:space="0" w:color="000000"/>
              <w:left w:val="single" w:sz="4" w:space="0" w:color="000000"/>
              <w:right w:val="single" w:sz="4" w:space="0" w:color="000000"/>
            </w:tcBorders>
            <w:vAlign w:val="center"/>
          </w:tcPr>
          <w:p w14:paraId="32D4B28E"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4D2C3A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4A7F3B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A3DB9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86850FF" w14:textId="77777777">
        <w:trPr>
          <w:jc w:val="center"/>
        </w:trPr>
        <w:tc>
          <w:tcPr>
            <w:tcW w:w="7236" w:type="dxa"/>
            <w:vMerge/>
            <w:tcBorders>
              <w:top w:val="single" w:sz="4" w:space="0" w:color="000000"/>
              <w:left w:val="single" w:sz="4" w:space="0" w:color="000000"/>
              <w:right w:val="single" w:sz="4" w:space="0" w:color="000000"/>
            </w:tcBorders>
            <w:vAlign w:val="center"/>
          </w:tcPr>
          <w:p w14:paraId="2B0DBF50"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97126A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4E465D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923405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2C0052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4F84F7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550D090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702137D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56870E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5C27CE8" w14:textId="77777777">
        <w:trPr>
          <w:jc w:val="center"/>
        </w:trPr>
        <w:tc>
          <w:tcPr>
            <w:tcW w:w="7236" w:type="dxa"/>
            <w:vMerge/>
            <w:tcBorders>
              <w:top w:val="single" w:sz="4" w:space="0" w:color="000000"/>
              <w:left w:val="single" w:sz="4" w:space="0" w:color="000000"/>
              <w:right w:val="single" w:sz="4" w:space="0" w:color="000000"/>
            </w:tcBorders>
            <w:vAlign w:val="center"/>
          </w:tcPr>
          <w:p w14:paraId="2B920AE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CB8E4B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C2AD4B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22F259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7D42DD8" w14:textId="77777777">
        <w:trPr>
          <w:jc w:val="center"/>
        </w:trPr>
        <w:tc>
          <w:tcPr>
            <w:tcW w:w="7236" w:type="dxa"/>
            <w:vMerge/>
            <w:tcBorders>
              <w:top w:val="single" w:sz="4" w:space="0" w:color="000000"/>
              <w:left w:val="single" w:sz="4" w:space="0" w:color="000000"/>
              <w:right w:val="single" w:sz="4" w:space="0" w:color="000000"/>
            </w:tcBorders>
            <w:vAlign w:val="center"/>
          </w:tcPr>
          <w:p w14:paraId="013EA2B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F4A5B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6870F0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658CD9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CC88214" w14:textId="77777777">
        <w:trPr>
          <w:jc w:val="center"/>
        </w:trPr>
        <w:tc>
          <w:tcPr>
            <w:tcW w:w="7236" w:type="dxa"/>
            <w:vMerge/>
            <w:tcBorders>
              <w:top w:val="single" w:sz="4" w:space="0" w:color="000000"/>
              <w:left w:val="single" w:sz="4" w:space="0" w:color="000000"/>
              <w:right w:val="single" w:sz="4" w:space="0" w:color="000000"/>
            </w:tcBorders>
            <w:vAlign w:val="center"/>
          </w:tcPr>
          <w:p w14:paraId="71EF60F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6848C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BD2B8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23A973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7E24EF0" w14:textId="77777777">
        <w:trPr>
          <w:jc w:val="center"/>
        </w:trPr>
        <w:tc>
          <w:tcPr>
            <w:tcW w:w="7236" w:type="dxa"/>
            <w:vMerge/>
            <w:tcBorders>
              <w:top w:val="single" w:sz="4" w:space="0" w:color="000000"/>
              <w:left w:val="single" w:sz="4" w:space="0" w:color="000000"/>
              <w:right w:val="single" w:sz="4" w:space="0" w:color="000000"/>
            </w:tcBorders>
            <w:vAlign w:val="center"/>
          </w:tcPr>
          <w:p w14:paraId="33333CB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FAC1CD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8DBCD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359677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90DDF50" w14:textId="77777777">
        <w:trPr>
          <w:jc w:val="center"/>
        </w:trPr>
        <w:tc>
          <w:tcPr>
            <w:tcW w:w="7236" w:type="dxa"/>
            <w:vMerge/>
            <w:tcBorders>
              <w:top w:val="single" w:sz="4" w:space="0" w:color="000000"/>
              <w:left w:val="single" w:sz="4" w:space="0" w:color="000000"/>
              <w:right w:val="single" w:sz="4" w:space="0" w:color="000000"/>
            </w:tcBorders>
            <w:vAlign w:val="center"/>
          </w:tcPr>
          <w:p w14:paraId="1FFB34D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325F16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1AB784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A311C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5199EB9" w14:textId="77777777">
        <w:trPr>
          <w:jc w:val="center"/>
        </w:trPr>
        <w:tc>
          <w:tcPr>
            <w:tcW w:w="7236" w:type="dxa"/>
            <w:vMerge/>
            <w:tcBorders>
              <w:top w:val="single" w:sz="4" w:space="0" w:color="000000"/>
              <w:left w:val="single" w:sz="4" w:space="0" w:color="000000"/>
              <w:right w:val="single" w:sz="4" w:space="0" w:color="000000"/>
            </w:tcBorders>
            <w:vAlign w:val="center"/>
          </w:tcPr>
          <w:p w14:paraId="443CC99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B0DA0C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4DE0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402A8F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C4B82FC" w14:textId="77777777">
        <w:trPr>
          <w:jc w:val="center"/>
        </w:trPr>
        <w:tc>
          <w:tcPr>
            <w:tcW w:w="7236" w:type="dxa"/>
            <w:vMerge/>
            <w:tcBorders>
              <w:top w:val="single" w:sz="4" w:space="0" w:color="000000"/>
              <w:left w:val="single" w:sz="4" w:space="0" w:color="000000"/>
              <w:right w:val="single" w:sz="4" w:space="0" w:color="000000"/>
            </w:tcBorders>
            <w:vAlign w:val="center"/>
          </w:tcPr>
          <w:p w14:paraId="42EAC42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373AE5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7F3EC7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3C449A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9B3FF44" w14:textId="77777777">
        <w:trPr>
          <w:jc w:val="center"/>
        </w:trPr>
        <w:tc>
          <w:tcPr>
            <w:tcW w:w="7236" w:type="dxa"/>
            <w:vMerge/>
            <w:tcBorders>
              <w:top w:val="single" w:sz="4" w:space="0" w:color="000000"/>
              <w:left w:val="single" w:sz="4" w:space="0" w:color="000000"/>
              <w:right w:val="single" w:sz="4" w:space="0" w:color="000000"/>
            </w:tcBorders>
            <w:vAlign w:val="center"/>
          </w:tcPr>
          <w:p w14:paraId="07ECD13F"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3240D3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91CD59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23A17E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50632EB"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954A153"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14:paraId="3EBDF44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85001E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066062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9D7150E" w14:textId="77777777">
        <w:trPr>
          <w:jc w:val="center"/>
        </w:trPr>
        <w:tc>
          <w:tcPr>
            <w:tcW w:w="7236" w:type="dxa"/>
            <w:vMerge/>
            <w:tcBorders>
              <w:top w:val="single" w:sz="4" w:space="0" w:color="000000"/>
              <w:left w:val="single" w:sz="4" w:space="0" w:color="000000"/>
              <w:right w:val="single" w:sz="4" w:space="0" w:color="000000"/>
            </w:tcBorders>
            <w:vAlign w:val="center"/>
          </w:tcPr>
          <w:p w14:paraId="09DC692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7BA690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55B77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0FA9FF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1583060" w14:textId="77777777">
        <w:trPr>
          <w:jc w:val="center"/>
        </w:trPr>
        <w:tc>
          <w:tcPr>
            <w:tcW w:w="7236" w:type="dxa"/>
            <w:vMerge/>
            <w:tcBorders>
              <w:top w:val="single" w:sz="4" w:space="0" w:color="000000"/>
              <w:left w:val="single" w:sz="4" w:space="0" w:color="000000"/>
              <w:right w:val="single" w:sz="4" w:space="0" w:color="000000"/>
            </w:tcBorders>
            <w:vAlign w:val="center"/>
          </w:tcPr>
          <w:p w14:paraId="0B4F838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475391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01C14E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05AAAD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8B55B48" w14:textId="77777777">
        <w:trPr>
          <w:jc w:val="center"/>
        </w:trPr>
        <w:tc>
          <w:tcPr>
            <w:tcW w:w="7236" w:type="dxa"/>
            <w:vMerge/>
            <w:tcBorders>
              <w:top w:val="single" w:sz="4" w:space="0" w:color="000000"/>
              <w:left w:val="single" w:sz="4" w:space="0" w:color="000000"/>
              <w:right w:val="single" w:sz="4" w:space="0" w:color="000000"/>
            </w:tcBorders>
            <w:vAlign w:val="center"/>
          </w:tcPr>
          <w:p w14:paraId="0F44B6E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29A89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3484B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D32E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0B5CA0F" w14:textId="77777777">
        <w:trPr>
          <w:jc w:val="center"/>
        </w:trPr>
        <w:tc>
          <w:tcPr>
            <w:tcW w:w="7236" w:type="dxa"/>
            <w:vMerge/>
            <w:tcBorders>
              <w:top w:val="single" w:sz="4" w:space="0" w:color="000000"/>
              <w:left w:val="single" w:sz="4" w:space="0" w:color="000000"/>
              <w:right w:val="single" w:sz="4" w:space="0" w:color="000000"/>
            </w:tcBorders>
            <w:vAlign w:val="center"/>
          </w:tcPr>
          <w:p w14:paraId="407BC9C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7F88AF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4F918D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33B303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491562A3" w14:textId="04EC9250"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02B5AAE2" w14:textId="77777777" w:rsidR="00146998" w:rsidRDefault="00146998">
      <w:pPr>
        <w:pStyle w:val="Normale1"/>
        <w:widowControl w:val="0"/>
        <w:pBdr>
          <w:top w:val="nil"/>
          <w:left w:val="nil"/>
          <w:bottom w:val="nil"/>
          <w:right w:val="nil"/>
          <w:between w:val="nil"/>
        </w:pBdr>
        <w:rPr>
          <w:rFonts w:ascii="Times New Roman" w:eastAsia="Times New Roman" w:hAnsi="Times New Roman" w:cs="Times New Roman"/>
          <w:color w:val="000000"/>
        </w:rPr>
      </w:pPr>
    </w:p>
    <w:p w14:paraId="5475E21A"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5"/>
        <w:gridCol w:w="567"/>
        <w:gridCol w:w="996"/>
      </w:tblGrid>
      <w:tr w:rsidR="004308F5" w14:paraId="1ADF3FA9" w14:textId="77777777">
        <w:trPr>
          <w:trHeight w:val="489"/>
        </w:trPr>
        <w:tc>
          <w:tcPr>
            <w:tcW w:w="8085" w:type="dxa"/>
            <w:vAlign w:val="center"/>
          </w:tcPr>
          <w:p w14:paraId="496FE5F2"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18"/>
                <w:szCs w:val="18"/>
              </w:rPr>
              <w:t xml:space="preserve">Tipo di esigenza </w:t>
            </w:r>
          </w:p>
        </w:tc>
        <w:tc>
          <w:tcPr>
            <w:tcW w:w="567" w:type="dxa"/>
            <w:vAlign w:val="center"/>
          </w:tcPr>
          <w:p w14:paraId="64D56155" w14:textId="77777777" w:rsidR="004308F5" w:rsidRDefault="00F92A6F">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996" w:type="dxa"/>
            <w:vAlign w:val="center"/>
          </w:tcPr>
          <w:p w14:paraId="6903F3B6"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w:t>
            </w:r>
          </w:p>
          <w:p w14:paraId="57A9744B"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Dir.Scol</w:t>
            </w:r>
            <w:proofErr w:type="spellEnd"/>
            <w:r>
              <w:rPr>
                <w:rFonts w:ascii="Times New Roman" w:eastAsia="Times New Roman" w:hAnsi="Times New Roman" w:cs="Times New Roman"/>
                <w:b/>
                <w:color w:val="000000"/>
                <w:sz w:val="18"/>
                <w:szCs w:val="18"/>
              </w:rPr>
              <w:t xml:space="preserve">. </w:t>
            </w:r>
          </w:p>
        </w:tc>
      </w:tr>
      <w:tr w:rsidR="004308F5" w14:paraId="736CC2AB" w14:textId="77777777">
        <w:trPr>
          <w:trHeight w:val="671"/>
        </w:trPr>
        <w:tc>
          <w:tcPr>
            <w:tcW w:w="8085" w:type="dxa"/>
            <w:vAlign w:val="center"/>
          </w:tcPr>
          <w:p w14:paraId="0199E4C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567" w:type="dxa"/>
            <w:vAlign w:val="center"/>
          </w:tcPr>
          <w:p w14:paraId="07EA6A7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4703AF6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56A0DC0" w14:textId="77777777">
        <w:trPr>
          <w:trHeight w:val="240"/>
        </w:trPr>
        <w:tc>
          <w:tcPr>
            <w:tcW w:w="8085" w:type="dxa"/>
            <w:vAlign w:val="center"/>
          </w:tcPr>
          <w:p w14:paraId="2E74FDC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567" w:type="dxa"/>
            <w:vAlign w:val="center"/>
          </w:tcPr>
          <w:p w14:paraId="593885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685CA67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10017D3" w14:textId="77777777">
        <w:trPr>
          <w:trHeight w:val="700"/>
        </w:trPr>
        <w:tc>
          <w:tcPr>
            <w:tcW w:w="8085" w:type="dxa"/>
            <w:vAlign w:val="center"/>
          </w:tcPr>
          <w:p w14:paraId="109E4A48"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567" w:type="dxa"/>
            <w:vAlign w:val="center"/>
          </w:tcPr>
          <w:p w14:paraId="2394633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0EAF955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FCF9270" w14:textId="77777777">
        <w:trPr>
          <w:trHeight w:val="695"/>
        </w:trPr>
        <w:tc>
          <w:tcPr>
            <w:tcW w:w="8085" w:type="dxa"/>
            <w:vAlign w:val="center"/>
          </w:tcPr>
          <w:p w14:paraId="7B9EB37E"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567" w:type="dxa"/>
            <w:vAlign w:val="center"/>
          </w:tcPr>
          <w:p w14:paraId="1258F1A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793C0D1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29318D0F"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6CFD3F0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4308F5" w14:paraId="2C4E772C" w14:textId="77777777">
        <w:tc>
          <w:tcPr>
            <w:tcW w:w="8062" w:type="dxa"/>
            <w:vAlign w:val="center"/>
          </w:tcPr>
          <w:p w14:paraId="4A67F3CB"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Tipo di titolo </w:t>
            </w:r>
          </w:p>
        </w:tc>
        <w:tc>
          <w:tcPr>
            <w:tcW w:w="662" w:type="dxa"/>
            <w:vAlign w:val="center"/>
          </w:tcPr>
          <w:p w14:paraId="11007D27" w14:textId="77777777" w:rsidR="004308F5" w:rsidRDefault="00F92A6F">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924" w:type="dxa"/>
            <w:vAlign w:val="center"/>
          </w:tcPr>
          <w:p w14:paraId="5ACE02CE"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w:t>
            </w:r>
            <w:proofErr w:type="spellStart"/>
            <w:r>
              <w:rPr>
                <w:rFonts w:ascii="Times New Roman" w:eastAsia="Times New Roman" w:hAnsi="Times New Roman" w:cs="Times New Roman"/>
                <w:b/>
                <w:color w:val="000000"/>
                <w:sz w:val="18"/>
                <w:szCs w:val="18"/>
              </w:rPr>
              <w:t>Dir.Scol</w:t>
            </w:r>
            <w:proofErr w:type="spellEnd"/>
            <w:r>
              <w:rPr>
                <w:rFonts w:ascii="Times New Roman" w:eastAsia="Times New Roman" w:hAnsi="Times New Roman" w:cs="Times New Roman"/>
                <w:b/>
                <w:color w:val="000000"/>
                <w:sz w:val="18"/>
                <w:szCs w:val="18"/>
              </w:rPr>
              <w:t xml:space="preserve">. </w:t>
            </w:r>
          </w:p>
        </w:tc>
      </w:tr>
      <w:tr w:rsidR="004308F5" w14:paraId="4E560313" w14:textId="77777777">
        <w:tc>
          <w:tcPr>
            <w:tcW w:w="8062" w:type="dxa"/>
            <w:vAlign w:val="center"/>
          </w:tcPr>
          <w:p w14:paraId="593EA0C2"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promozione di merito distinto                                                                                              (Punti 3) </w:t>
            </w:r>
          </w:p>
        </w:tc>
        <w:tc>
          <w:tcPr>
            <w:tcW w:w="662" w:type="dxa"/>
            <w:vAlign w:val="center"/>
          </w:tcPr>
          <w:p w14:paraId="52AA21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63C66D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30DB719" w14:textId="77777777">
        <w:tc>
          <w:tcPr>
            <w:tcW w:w="8062" w:type="dxa"/>
            <w:vAlign w:val="center"/>
          </w:tcPr>
          <w:p w14:paraId="54C0D98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0566D46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4EF7FF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D953890" w14:textId="77777777">
        <w:tc>
          <w:tcPr>
            <w:tcW w:w="8062" w:type="dxa"/>
            <w:vAlign w:val="center"/>
          </w:tcPr>
          <w:p w14:paraId="4035F7AC"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716B6729"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4061936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A605B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9FB54DE" w14:textId="77777777">
        <w:tc>
          <w:tcPr>
            <w:tcW w:w="8062" w:type="dxa"/>
            <w:vAlign w:val="center"/>
          </w:tcPr>
          <w:p w14:paraId="40A7C70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7F8C164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C3FE32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7009394" w14:textId="77777777">
        <w:tc>
          <w:tcPr>
            <w:tcW w:w="8062" w:type="dxa"/>
            <w:vAlign w:val="center"/>
          </w:tcPr>
          <w:p w14:paraId="39F3BDD6"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6C697E1" w14:textId="77777777" w:rsidR="004308F5" w:rsidRDefault="00F92A6F">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14:paraId="1BBD641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4BB66A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00F536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1106D3C" w14:textId="77777777">
        <w:tc>
          <w:tcPr>
            <w:tcW w:w="8062" w:type="dxa"/>
            <w:vAlign w:val="center"/>
          </w:tcPr>
          <w:p w14:paraId="4C2A6ED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12EAA19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E4611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AA52D73" w14:textId="77777777">
        <w:tc>
          <w:tcPr>
            <w:tcW w:w="8062" w:type="dxa"/>
            <w:vAlign w:val="center"/>
          </w:tcPr>
          <w:p w14:paraId="1E3B7E5A"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il conseguimento del titolo di "dottorato di ricerca"(si valuta un solo titolo)                          (Punti 5)  </w:t>
            </w:r>
          </w:p>
          <w:p w14:paraId="6B6AF75E"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01A0C59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0FC8EF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9B75EC2" w14:textId="77777777">
        <w:tc>
          <w:tcPr>
            <w:tcW w:w="8062" w:type="dxa"/>
            <w:vAlign w:val="center"/>
          </w:tcPr>
          <w:p w14:paraId="1DCD51CF"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68C836C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63EB01F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432351E" w14:textId="77777777">
        <w:tc>
          <w:tcPr>
            <w:tcW w:w="8062" w:type="dxa"/>
            <w:vAlign w:val="center"/>
          </w:tcPr>
          <w:p w14:paraId="1ABB2640"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18B71CB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3D4C26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5B95A98" w14:textId="77777777">
        <w:tc>
          <w:tcPr>
            <w:tcW w:w="8062" w:type="dxa"/>
            <w:vAlign w:val="center"/>
          </w:tcPr>
          <w:p w14:paraId="252CA1FB"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14:paraId="3C4EEB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A9E4B3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8332CB1" w14:textId="77777777">
        <w:tc>
          <w:tcPr>
            <w:tcW w:w="8062" w:type="dxa"/>
            <w:vAlign w:val="center"/>
          </w:tcPr>
          <w:p w14:paraId="12D56797" w14:textId="77777777" w:rsidR="004308F5" w:rsidRDefault="00F92A6F">
            <w:pPr>
              <w:pStyle w:val="Normale1"/>
              <w:widowControl w:val="0"/>
              <w:pBdr>
                <w:top w:val="nil"/>
                <w:left w:val="nil"/>
                <w:bottom w:val="nil"/>
                <w:right w:val="nil"/>
                <w:between w:val="nil"/>
              </w:pBdr>
              <w:ind w:left="15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TOTALE PUNTI </w:t>
            </w:r>
          </w:p>
        </w:tc>
        <w:tc>
          <w:tcPr>
            <w:tcW w:w="1586" w:type="dxa"/>
            <w:gridSpan w:val="2"/>
            <w:vAlign w:val="center"/>
          </w:tcPr>
          <w:p w14:paraId="1FF3D4B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0E466A74"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3E6EAA0D"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367E7A42"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bookmarkStart w:id="0" w:name="_GoBack"/>
      <w:r>
        <w:rPr>
          <w:rFonts w:ascii="Times New Roman" w:eastAsia="Times New Roman" w:hAnsi="Times New Roman" w:cs="Times New Roman"/>
          <w:color w:val="000000"/>
        </w:rPr>
        <w:t>SI ALLEGA DICHIARAZIONE DI PERMANENZA DEI REQUISITI SUI BENEFICI DELLA LEGGE 104.</w:t>
      </w:r>
    </w:p>
    <w:bookmarkEnd w:id="0"/>
    <w:p w14:paraId="2D24FF08"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7F58B390"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08ED9D7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 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Firma _________________________</w:t>
      </w:r>
    </w:p>
    <w:p w14:paraId="1EBEA557" w14:textId="77777777" w:rsidR="004308F5" w:rsidRDefault="00F92A6F">
      <w:pPr>
        <w:pStyle w:val="Normale1"/>
        <w:pBdr>
          <w:top w:val="nil"/>
          <w:left w:val="nil"/>
          <w:bottom w:val="nil"/>
          <w:right w:val="nil"/>
          <w:between w:val="nil"/>
        </w:pBdr>
        <w:spacing w:after="160" w:line="259" w:lineRule="auto"/>
        <w:jc w:val="both"/>
        <w:rPr>
          <w:color w:val="000000"/>
          <w:sz w:val="18"/>
          <w:szCs w:val="18"/>
        </w:rPr>
      </w:pPr>
      <w:r>
        <w:br w:type="page"/>
      </w:r>
      <w:r>
        <w:rPr>
          <w:smallCaps/>
          <w:color w:val="000000"/>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2D9BC8C"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622F457" w14:textId="77777777" w:rsidR="004308F5" w:rsidRDefault="00F92A6F">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4604914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3845812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5D783F0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6917FB6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813F6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10D54E4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6229369C"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6220F4A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2557BAA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 i primi 4 anni sono valutati 3 punti per ogni anno - il periodo eccedente i 4 anni è valutato per i 2/3 (due punti per ogni anno).</w:t>
      </w:r>
    </w:p>
    <w:p w14:paraId="319FC99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14:paraId="5A069A6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4A5E196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1700DF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177BD71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4F8583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465DFAC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w:t>
      </w:r>
      <w:r>
        <w:rPr>
          <w:rFonts w:ascii="Times New Roman" w:eastAsia="Times New Roman" w:hAnsi="Times New Roman" w:cs="Times New Roman"/>
          <w:color w:val="000000"/>
          <w:sz w:val="18"/>
          <w:szCs w:val="18"/>
        </w:rPr>
        <w:lastRenderedPageBreak/>
        <w:t>Capo IV - Congedo di paternità, Capo V - Congedo parentale, Capo VII - Congedi per la malattia del figlio) devono essere computati nell’anzianità di servizio a tutti gli effetti.</w:t>
      </w:r>
    </w:p>
    <w:p w14:paraId="1E6B276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FD32BE1"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3347169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4939FC5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50916D0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76101821"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627A967C"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13EBED7D" w14:textId="77777777" w:rsidR="004308F5" w:rsidRDefault="00F92A6F">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5D02911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685713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855B5A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B26C3F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9390E68"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w:t>
      </w:r>
      <w:r>
        <w:rPr>
          <w:rFonts w:ascii="Times New Roman" w:eastAsia="Times New Roman" w:hAnsi="Times New Roman" w:cs="Times New Roman"/>
          <w:color w:val="000000"/>
          <w:sz w:val="18"/>
          <w:szCs w:val="18"/>
        </w:rPr>
        <w:lastRenderedPageBreak/>
        <w:t xml:space="preserve">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CEA9BA7"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6F62107C"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201F5571"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entro il quinquennio: Punti 2</w:t>
      </w:r>
    </w:p>
    <w:p w14:paraId="6D1D953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22F2053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39BE1B38"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4D26F4D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A8B5FC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FE62B4F"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3C18639F"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0EB29039"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73539CC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9B2F98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121B8B8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45C4B1E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5EAC2E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3A44617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6C5C505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punteggio così calcolato viene utilizzato anche nelle operazioni di trasferimento d’ufficio del soprannumerario. </w:t>
      </w:r>
    </w:p>
    <w:p w14:paraId="2C82532D"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14:paraId="1EBDA2B7"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C18174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7340EB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C886A9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86CE49D"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448B2DC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2A67335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5429252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498280B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4308F5" w:rsidSect="004308F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F5"/>
    <w:rsid w:val="00032DAD"/>
    <w:rsid w:val="00146998"/>
    <w:rsid w:val="004308F5"/>
    <w:rsid w:val="007263B4"/>
    <w:rsid w:val="00912744"/>
    <w:rsid w:val="00952B0E"/>
    <w:rsid w:val="009B3D01"/>
    <w:rsid w:val="00D8386A"/>
    <w:rsid w:val="00E5705F"/>
    <w:rsid w:val="00F92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783C"/>
  <w15:docId w15:val="{7BC0AFE0-5B54-49C2-9C78-AEFF12CE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705F"/>
  </w:style>
  <w:style w:type="paragraph" w:styleId="Titolo1">
    <w:name w:val="heading 1"/>
    <w:basedOn w:val="Normale1"/>
    <w:next w:val="Normale1"/>
    <w:rsid w:val="004308F5"/>
    <w:pPr>
      <w:keepNext/>
      <w:keepLines/>
      <w:spacing w:before="480" w:after="120"/>
      <w:outlineLvl w:val="0"/>
    </w:pPr>
    <w:rPr>
      <w:b/>
      <w:sz w:val="48"/>
      <w:szCs w:val="48"/>
    </w:rPr>
  </w:style>
  <w:style w:type="paragraph" w:styleId="Titolo2">
    <w:name w:val="heading 2"/>
    <w:basedOn w:val="Normale1"/>
    <w:next w:val="Normale1"/>
    <w:rsid w:val="004308F5"/>
    <w:pPr>
      <w:keepNext/>
      <w:keepLines/>
      <w:spacing w:before="360" w:after="80"/>
      <w:outlineLvl w:val="1"/>
    </w:pPr>
    <w:rPr>
      <w:b/>
      <w:sz w:val="36"/>
      <w:szCs w:val="36"/>
    </w:rPr>
  </w:style>
  <w:style w:type="paragraph" w:styleId="Titolo3">
    <w:name w:val="heading 3"/>
    <w:basedOn w:val="Normale1"/>
    <w:next w:val="Normale1"/>
    <w:rsid w:val="004308F5"/>
    <w:pPr>
      <w:keepNext/>
      <w:keepLines/>
      <w:spacing w:before="280" w:after="80"/>
      <w:outlineLvl w:val="2"/>
    </w:pPr>
    <w:rPr>
      <w:b/>
      <w:sz w:val="28"/>
      <w:szCs w:val="28"/>
    </w:rPr>
  </w:style>
  <w:style w:type="paragraph" w:styleId="Titolo4">
    <w:name w:val="heading 4"/>
    <w:basedOn w:val="Normale1"/>
    <w:next w:val="Normale1"/>
    <w:rsid w:val="004308F5"/>
    <w:pPr>
      <w:keepNext/>
      <w:keepLines/>
      <w:spacing w:before="240" w:after="40"/>
      <w:outlineLvl w:val="3"/>
    </w:pPr>
    <w:rPr>
      <w:b/>
      <w:sz w:val="24"/>
      <w:szCs w:val="24"/>
    </w:rPr>
  </w:style>
  <w:style w:type="paragraph" w:styleId="Titolo5">
    <w:name w:val="heading 5"/>
    <w:basedOn w:val="Normale1"/>
    <w:next w:val="Normale1"/>
    <w:rsid w:val="004308F5"/>
    <w:pPr>
      <w:keepNext/>
      <w:keepLines/>
      <w:spacing w:before="220" w:after="40"/>
      <w:outlineLvl w:val="4"/>
    </w:pPr>
    <w:rPr>
      <w:b/>
      <w:sz w:val="22"/>
      <w:szCs w:val="22"/>
    </w:rPr>
  </w:style>
  <w:style w:type="paragraph" w:styleId="Titolo6">
    <w:name w:val="heading 6"/>
    <w:basedOn w:val="Normale1"/>
    <w:next w:val="Normale1"/>
    <w:rsid w:val="004308F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308F5"/>
  </w:style>
  <w:style w:type="table" w:customStyle="1" w:styleId="TableNormal">
    <w:name w:val="Table Normal"/>
    <w:rsid w:val="004308F5"/>
    <w:tblPr>
      <w:tblCellMar>
        <w:top w:w="0" w:type="dxa"/>
        <w:left w:w="0" w:type="dxa"/>
        <w:bottom w:w="0" w:type="dxa"/>
        <w:right w:w="0" w:type="dxa"/>
      </w:tblCellMar>
    </w:tblPr>
  </w:style>
  <w:style w:type="paragraph" w:styleId="Titolo">
    <w:name w:val="Title"/>
    <w:basedOn w:val="Normale1"/>
    <w:next w:val="Normale1"/>
    <w:rsid w:val="004308F5"/>
    <w:pPr>
      <w:keepNext/>
      <w:keepLines/>
      <w:spacing w:before="480" w:after="120"/>
    </w:pPr>
    <w:rPr>
      <w:b/>
      <w:sz w:val="72"/>
      <w:szCs w:val="72"/>
    </w:rPr>
  </w:style>
  <w:style w:type="paragraph" w:styleId="Sottotitolo">
    <w:name w:val="Subtitle"/>
    <w:basedOn w:val="Normale1"/>
    <w:next w:val="Normale1"/>
    <w:rsid w:val="004308F5"/>
    <w:pPr>
      <w:keepNext/>
      <w:keepLines/>
      <w:spacing w:before="360" w:after="80"/>
    </w:pPr>
    <w:rPr>
      <w:rFonts w:ascii="Georgia" w:eastAsia="Georgia" w:hAnsi="Georgia" w:cs="Georgia"/>
      <w:i/>
      <w:color w:val="666666"/>
      <w:sz w:val="48"/>
      <w:szCs w:val="48"/>
    </w:rPr>
  </w:style>
  <w:style w:type="table" w:customStyle="1" w:styleId="a">
    <w:basedOn w:val="TableNormal"/>
    <w:rsid w:val="004308F5"/>
    <w:tblPr>
      <w:tblStyleRowBandSize w:val="1"/>
      <w:tblStyleColBandSize w:val="1"/>
    </w:tblPr>
  </w:style>
  <w:style w:type="table" w:customStyle="1" w:styleId="a0">
    <w:basedOn w:val="TableNormal"/>
    <w:rsid w:val="004308F5"/>
    <w:tblPr>
      <w:tblStyleRowBandSize w:val="1"/>
      <w:tblStyleColBandSize w:val="1"/>
    </w:tblPr>
  </w:style>
  <w:style w:type="table" w:customStyle="1" w:styleId="a1">
    <w:basedOn w:val="TableNormal"/>
    <w:rsid w:val="004308F5"/>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7863</Words>
  <Characters>44825</Characters>
  <Application>Microsoft Office Word</Application>
  <DocSecurity>0</DocSecurity>
  <Lines>373</Lines>
  <Paragraphs>105</Paragraphs>
  <ScaleCrop>false</ScaleCrop>
  <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CARMELINA ANSALONE</cp:lastModifiedBy>
  <cp:revision>3</cp:revision>
  <dcterms:created xsi:type="dcterms:W3CDTF">2020-03-24T13:41:00Z</dcterms:created>
  <dcterms:modified xsi:type="dcterms:W3CDTF">2020-03-24T13:53:00Z</dcterms:modified>
</cp:coreProperties>
</file>